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20" w:rsidRDefault="00DB2C20" w:rsidP="00DB2C20">
      <w:pPr>
        <w:tabs>
          <w:tab w:val="center" w:pos="4536"/>
        </w:tabs>
        <w:suppressAutoHyphens/>
        <w:spacing w:line="360" w:lineRule="auto"/>
        <w:jc w:val="center"/>
        <w:rPr>
          <w:b/>
          <w:bCs/>
          <w:sz w:val="44"/>
          <w:szCs w:val="44"/>
        </w:rPr>
      </w:pPr>
      <w:r>
        <w:rPr>
          <w:b/>
          <w:bCs/>
          <w:sz w:val="44"/>
          <w:szCs w:val="44"/>
        </w:rPr>
        <w:t>International Strategies in Higher Education</w:t>
      </w:r>
    </w:p>
    <w:p w:rsidR="00DB2C20" w:rsidRDefault="00DB2C20" w:rsidP="00DB2C20">
      <w:pPr>
        <w:pStyle w:val="Irodalom"/>
        <w:suppressAutoHyphens/>
      </w:pPr>
    </w:p>
    <w:p w:rsidR="00DB2C20" w:rsidRDefault="00DB2C20" w:rsidP="00DB2C20">
      <w:pPr>
        <w:suppressAutoHyphens/>
        <w:spacing w:line="360" w:lineRule="auto"/>
        <w:jc w:val="center"/>
        <w:rPr>
          <w:b/>
          <w:bCs/>
          <w:sz w:val="44"/>
          <w:szCs w:val="44"/>
        </w:rPr>
      </w:pPr>
      <w:r>
        <w:rPr>
          <w:b/>
          <w:bCs/>
          <w:sz w:val="44"/>
          <w:szCs w:val="44"/>
        </w:rPr>
        <w:t>Conference Proceedings</w:t>
      </w:r>
    </w:p>
    <w:p w:rsidR="00DB2C20" w:rsidRDefault="00DB2C20" w:rsidP="00DB2C20">
      <w:pPr>
        <w:suppressAutoHyphens/>
        <w:spacing w:line="360" w:lineRule="auto"/>
        <w:jc w:val="center"/>
        <w:rPr>
          <w:bCs/>
          <w:sz w:val="32"/>
          <w:szCs w:val="32"/>
        </w:rPr>
      </w:pPr>
      <w:r>
        <w:rPr>
          <w:bCs/>
          <w:sz w:val="32"/>
          <w:szCs w:val="32"/>
        </w:rPr>
        <w:t>Eger, Eszterházy Károly College</w:t>
      </w:r>
    </w:p>
    <w:p w:rsidR="00DB2C20" w:rsidRDefault="00DB2C20" w:rsidP="00DB2C20">
      <w:pPr>
        <w:suppressAutoHyphens/>
        <w:spacing w:line="360" w:lineRule="auto"/>
        <w:jc w:val="center"/>
        <w:rPr>
          <w:bCs/>
          <w:sz w:val="32"/>
          <w:szCs w:val="32"/>
        </w:rPr>
      </w:pPr>
      <w:r>
        <w:rPr>
          <w:bCs/>
          <w:sz w:val="32"/>
          <w:szCs w:val="32"/>
        </w:rPr>
        <w:t>(June 3-5, 2014)</w:t>
      </w:r>
    </w:p>
    <w:p w:rsidR="00DB2C20" w:rsidRDefault="00DB2C20" w:rsidP="00DB2C20">
      <w:pPr>
        <w:suppressAutoHyphens/>
        <w:spacing w:line="360" w:lineRule="auto"/>
        <w:jc w:val="center"/>
        <w:rPr>
          <w:b/>
          <w:bCs/>
        </w:rPr>
      </w:pPr>
    </w:p>
    <w:p w:rsidR="00DB2C20" w:rsidRDefault="00DB2C20" w:rsidP="00DB2C20">
      <w:pPr>
        <w:suppressAutoHyphens/>
        <w:spacing w:line="276" w:lineRule="auto"/>
        <w:jc w:val="center"/>
        <w:rPr>
          <w:b/>
          <w:bCs/>
        </w:rPr>
      </w:pPr>
      <w:r>
        <w:rPr>
          <w:b/>
          <w:noProof/>
        </w:rPr>
        <w:drawing>
          <wp:inline distT="0" distB="0" distL="0" distR="0">
            <wp:extent cx="2305050" cy="3152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05050" cy="3152775"/>
                    </a:xfrm>
                    <a:prstGeom prst="rect">
                      <a:avLst/>
                    </a:prstGeom>
                    <a:noFill/>
                    <a:ln w="9525">
                      <a:noFill/>
                      <a:miter lim="800000"/>
                      <a:headEnd/>
                      <a:tailEnd/>
                    </a:ln>
                  </pic:spPr>
                </pic:pic>
              </a:graphicData>
            </a:graphic>
          </wp:inline>
        </w:drawing>
      </w:r>
    </w:p>
    <w:p w:rsidR="00DB2C20" w:rsidRDefault="00DB2C20" w:rsidP="00DB2C20">
      <w:pPr>
        <w:shd w:val="clear" w:color="auto" w:fill="FFFFFF"/>
        <w:suppressAutoHyphens/>
        <w:jc w:val="right"/>
        <w:rPr>
          <w:rFonts w:ascii="Times New Roman" w:hAnsi="Times New Roman"/>
          <w:bCs/>
          <w:sz w:val="24"/>
        </w:rPr>
      </w:pPr>
      <w:r>
        <w:rPr>
          <w:rFonts w:ascii="Times New Roman" w:hAnsi="Times New Roman"/>
          <w:bCs/>
          <w:sz w:val="24"/>
        </w:rPr>
        <w:br w:type="page"/>
      </w:r>
    </w:p>
    <w:p w:rsidR="00DB2C20" w:rsidRDefault="00DB2C20" w:rsidP="00DB2C20">
      <w:pPr>
        <w:shd w:val="clear" w:color="auto" w:fill="FFFFFF"/>
        <w:suppressAutoHyphens/>
        <w:ind w:firstLine="0"/>
        <w:rPr>
          <w:rFonts w:ascii="Times New Roman" w:hAnsi="Times New Roman"/>
          <w:bCs/>
          <w:sz w:val="24"/>
        </w:rPr>
      </w:pPr>
      <w:r>
        <w:rPr>
          <w:rFonts w:ascii="Times New Roman" w:hAnsi="Times New Roman"/>
          <w:noProof/>
          <w:sz w:val="24"/>
        </w:rPr>
        <w:lastRenderedPageBreak/>
        <w:drawing>
          <wp:inline distT="0" distB="0" distL="0" distR="0">
            <wp:extent cx="1885950" cy="990600"/>
            <wp:effectExtent l="19050" t="0" r="0" b="0"/>
            <wp:docPr id="2"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6"/>
                    <pic:cNvPicPr>
                      <a:picLocks noChangeAspect="1" noChangeArrowheads="1"/>
                    </pic:cNvPicPr>
                  </pic:nvPicPr>
                  <pic:blipFill>
                    <a:blip r:embed="rId5" cstate="print"/>
                    <a:srcRect/>
                    <a:stretch>
                      <a:fillRect/>
                    </a:stretch>
                  </pic:blipFill>
                  <pic:spPr bwMode="auto">
                    <a:xfrm>
                      <a:off x="0" y="0"/>
                      <a:ext cx="1885950" cy="990600"/>
                    </a:xfrm>
                    <a:prstGeom prst="rect">
                      <a:avLst/>
                    </a:prstGeom>
                    <a:noFill/>
                    <a:ln w="9525">
                      <a:noFill/>
                      <a:miter lim="800000"/>
                      <a:headEnd/>
                      <a:tailEnd/>
                    </a:ln>
                  </pic:spPr>
                </pic:pic>
              </a:graphicData>
            </a:graphic>
          </wp:inline>
        </w:drawing>
      </w: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jc w:val="center"/>
        <w:rPr>
          <w:bCs/>
          <w:sz w:val="20"/>
        </w:rPr>
      </w:pPr>
    </w:p>
    <w:p w:rsidR="00DB2C20" w:rsidRDefault="00DB2C20" w:rsidP="00DB2C20">
      <w:pPr>
        <w:shd w:val="clear" w:color="auto" w:fill="FFFFFF"/>
        <w:suppressAutoHyphens/>
        <w:spacing w:after="120"/>
        <w:jc w:val="center"/>
        <w:rPr>
          <w:bCs/>
          <w:sz w:val="24"/>
        </w:rPr>
      </w:pPr>
      <w:r>
        <w:rPr>
          <w:bCs/>
          <w:sz w:val="24"/>
        </w:rPr>
        <w:t>Editorial board:</w:t>
      </w:r>
    </w:p>
    <w:p w:rsidR="00DB2C20" w:rsidRDefault="00DB2C20" w:rsidP="00DB2C20">
      <w:pPr>
        <w:shd w:val="clear" w:color="auto" w:fill="FFFFFF"/>
        <w:suppressAutoHyphens/>
        <w:jc w:val="center"/>
        <w:rPr>
          <w:bCs/>
          <w:sz w:val="24"/>
        </w:rPr>
      </w:pPr>
      <w:r>
        <w:rPr>
          <w:bCs/>
          <w:sz w:val="24"/>
        </w:rPr>
        <w:t>Dr. Judit Kádár</w:t>
      </w:r>
    </w:p>
    <w:p w:rsidR="00DB2C20" w:rsidRDefault="00DB2C20" w:rsidP="00DB2C20">
      <w:pPr>
        <w:shd w:val="clear" w:color="auto" w:fill="FFFFFF"/>
        <w:suppressAutoHyphens/>
        <w:jc w:val="center"/>
        <w:rPr>
          <w:bCs/>
          <w:sz w:val="24"/>
        </w:rPr>
      </w:pPr>
      <w:r>
        <w:rPr>
          <w:bCs/>
          <w:sz w:val="24"/>
        </w:rPr>
        <w:t>Dr. Beáta Szép</w:t>
      </w:r>
    </w:p>
    <w:p w:rsidR="00DB2C20" w:rsidRDefault="00DB2C20" w:rsidP="00DB2C20">
      <w:pPr>
        <w:shd w:val="clear" w:color="auto" w:fill="FFFFFF"/>
        <w:suppressAutoHyphens/>
        <w:jc w:val="center"/>
        <w:rPr>
          <w:bCs/>
          <w:sz w:val="24"/>
        </w:rPr>
      </w:pPr>
      <w:r>
        <w:rPr>
          <w:bCs/>
          <w:sz w:val="24"/>
        </w:rPr>
        <w:t>Krisztina Nagy</w:t>
      </w:r>
    </w:p>
    <w:p w:rsidR="00DB2C20" w:rsidRDefault="00DB2C20" w:rsidP="00DB2C20">
      <w:pPr>
        <w:shd w:val="clear" w:color="auto" w:fill="FFFFFF"/>
        <w:suppressAutoHyphens/>
        <w:jc w:val="center"/>
        <w:rPr>
          <w:bCs/>
          <w:sz w:val="24"/>
        </w:rPr>
      </w:pPr>
      <w:r>
        <w:rPr>
          <w:bCs/>
          <w:sz w:val="24"/>
        </w:rPr>
        <w:t>Renáta Zsámba</w:t>
      </w:r>
    </w:p>
    <w:p w:rsidR="00DB2C20" w:rsidRDefault="00DB2C20" w:rsidP="00DB2C20">
      <w:pPr>
        <w:shd w:val="clear" w:color="auto" w:fill="FFFFFF"/>
        <w:suppressAutoHyphens/>
        <w:jc w:val="center"/>
        <w:rPr>
          <w:bCs/>
          <w:sz w:val="24"/>
        </w:rPr>
      </w:pPr>
    </w:p>
    <w:p w:rsidR="00DB2C20" w:rsidRDefault="00DB2C20" w:rsidP="00DB2C20">
      <w:pPr>
        <w:shd w:val="clear" w:color="auto" w:fill="FFFFFF"/>
        <w:suppressAutoHyphens/>
        <w:jc w:val="center"/>
        <w:rPr>
          <w:sz w:val="24"/>
          <w:szCs w:val="18"/>
        </w:rPr>
      </w:pPr>
      <w:r>
        <w:rPr>
          <w:sz w:val="24"/>
          <w:szCs w:val="18"/>
        </w:rPr>
        <w:t>ISBN 978-615-5297-24-3</w:t>
      </w: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p>
    <w:p w:rsidR="00DB2C20" w:rsidRDefault="00DB2C20" w:rsidP="00DB2C20">
      <w:pPr>
        <w:shd w:val="clear" w:color="auto" w:fill="FFFFFF"/>
        <w:suppressAutoHyphens/>
        <w:jc w:val="center"/>
        <w:rPr>
          <w:sz w:val="24"/>
          <w:szCs w:val="18"/>
        </w:rPr>
      </w:pPr>
      <w:r>
        <w:rPr>
          <w:sz w:val="24"/>
          <w:szCs w:val="18"/>
        </w:rPr>
        <w:t>International Strategies in Higher Education-Conference Proceedings Eger, Eszterházy Károly College (June 3-5, 2014)</w:t>
      </w:r>
    </w:p>
    <w:p w:rsidR="00DB2C20" w:rsidRDefault="00DB2C20" w:rsidP="00DB2C20">
      <w:pPr>
        <w:shd w:val="clear" w:color="auto" w:fill="FFFFFF"/>
        <w:suppressAutoHyphens/>
        <w:jc w:val="right"/>
        <w:rPr>
          <w:rFonts w:ascii="Times New Roman" w:hAnsi="Times New Roman"/>
          <w:sz w:val="24"/>
          <w:szCs w:val="24"/>
        </w:rPr>
      </w:pPr>
    </w:p>
    <w:p w:rsidR="00DB2C20" w:rsidRDefault="00DB2C20" w:rsidP="00DB2C20">
      <w:pPr>
        <w:pStyle w:val="CIM"/>
        <w:suppressAutoHyphens/>
        <w:spacing w:before="1200"/>
      </w:pPr>
      <w:r>
        <w:rPr>
          <w:b w:val="0"/>
          <w:caps w:val="0"/>
        </w:rPr>
        <w:br w:type="page"/>
      </w:r>
      <w:r>
        <w:lastRenderedPageBreak/>
        <w:t>Acknowledgements</w:t>
      </w:r>
    </w:p>
    <w:p w:rsidR="00DB2C20" w:rsidRDefault="00DB2C20" w:rsidP="00DB2C20">
      <w:pPr>
        <w:suppressAutoHyphens/>
        <w:rPr>
          <w:b/>
        </w:rPr>
      </w:pPr>
      <w:r>
        <w:t xml:space="preserve">The conference entitled International Strategies in Higher Education: Good Practices was organized by Eszterházy Károly </w:t>
      </w:r>
      <w:proofErr w:type="gramStart"/>
      <w:r>
        <w:t>College`</w:t>
      </w:r>
      <w:proofErr w:type="gramEnd"/>
      <w:r>
        <w:t xml:space="preserve">s Center of International Relations, and supported by </w:t>
      </w:r>
      <w:r>
        <w:rPr>
          <w:lang w:val="en-US"/>
        </w:rPr>
        <w:t>TÁMOP Number 4.1.2.D-12/1/KONV-2012-0002 International Accessibility Development Program at Eszterházy Károly College</w:t>
      </w:r>
      <w:r>
        <w:t>. The editorial board would like to express their gratitude to the head of this project, Dr Éva Antal and the director of the Project Office, Dr Ibolya Szilágyi Prokaj. Special thanks also go to all the contributors to this book of proceedings, our institutional partners as well as the staff of CIR, without whose invaluable help neither the conference nor the present publication could have been realized.</w:t>
      </w: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pPr>
    </w:p>
    <w:p w:rsidR="00DB2C20" w:rsidRDefault="00DB2C20" w:rsidP="00DB2C20">
      <w:pPr>
        <w:suppressAutoHyphens/>
        <w:jc w:val="right"/>
      </w:pPr>
      <w:r>
        <w:rPr>
          <w:noProof/>
        </w:rPr>
        <w:drawing>
          <wp:anchor distT="0" distB="0" distL="114300" distR="114300" simplePos="0" relativeHeight="251658240" behindDoc="0" locked="0" layoutInCell="1" allowOverlap="1">
            <wp:simplePos x="0" y="0"/>
            <wp:positionH relativeFrom="margin">
              <wp:posOffset>1943735</wp:posOffset>
            </wp:positionH>
            <wp:positionV relativeFrom="margin">
              <wp:posOffset>5287645</wp:posOffset>
            </wp:positionV>
            <wp:extent cx="2592705" cy="1562735"/>
            <wp:effectExtent l="19050" t="0" r="0" b="0"/>
            <wp:wrapSquare wrapText="bothSides"/>
            <wp:docPr id="3"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9"/>
                    <pic:cNvPicPr>
                      <a:picLocks noChangeAspect="1" noChangeArrowheads="1"/>
                    </pic:cNvPicPr>
                  </pic:nvPicPr>
                  <pic:blipFill>
                    <a:blip r:embed="rId6" cstate="print"/>
                    <a:srcRect/>
                    <a:stretch>
                      <a:fillRect/>
                    </a:stretch>
                  </pic:blipFill>
                  <pic:spPr bwMode="auto">
                    <a:xfrm>
                      <a:off x="0" y="0"/>
                      <a:ext cx="2592705" cy="1562735"/>
                    </a:xfrm>
                    <a:prstGeom prst="rect">
                      <a:avLst/>
                    </a:prstGeom>
                    <a:noFill/>
                  </pic:spPr>
                </pic:pic>
              </a:graphicData>
            </a:graphic>
          </wp:anchor>
        </w:drawing>
      </w:r>
    </w:p>
    <w:p w:rsidR="00DB2C20" w:rsidRDefault="00DB2C20" w:rsidP="00DB2C20">
      <w:pPr>
        <w:autoSpaceDE/>
        <w:autoSpaceDN/>
        <w:adjustRightInd/>
        <w:spacing w:line="360" w:lineRule="auto"/>
        <w:ind w:firstLine="0"/>
        <w:jc w:val="left"/>
        <w:rPr>
          <w:rFonts w:ascii="Arial" w:hAnsi="Arial" w:cs="Arial"/>
          <w:b/>
        </w:rPr>
        <w:sectPr w:rsidR="00DB2C20">
          <w:footnotePr>
            <w:numRestart w:val="eachSect"/>
          </w:footnotePr>
          <w:pgSz w:w="10319" w:h="14572"/>
          <w:pgMar w:top="1701" w:right="1814" w:bottom="2098" w:left="1361" w:header="0" w:footer="1418" w:gutter="0"/>
          <w:pgNumType w:start="1"/>
          <w:cols w:space="708"/>
        </w:sectPr>
      </w:pPr>
    </w:p>
    <w:p w:rsidR="00DB2C20" w:rsidRDefault="00DB2C20" w:rsidP="00DB2C20">
      <w:pPr>
        <w:pStyle w:val="Tartalomjegyzkcmsora"/>
        <w:suppressAutoHyphens/>
        <w:spacing w:line="360" w:lineRule="auto"/>
        <w:jc w:val="both"/>
        <w:rPr>
          <w:color w:val="auto"/>
          <w:sz w:val="24"/>
          <w:szCs w:val="24"/>
        </w:rPr>
      </w:pPr>
      <w:bookmarkStart w:id="0" w:name="_GoBack"/>
      <w:bookmarkEnd w:id="0"/>
      <w:r>
        <w:rPr>
          <w:rFonts w:ascii="Times New Roman" w:hAnsi="Times New Roman"/>
          <w:color w:val="auto"/>
          <w:sz w:val="24"/>
          <w:szCs w:val="24"/>
        </w:rPr>
        <w:lastRenderedPageBreak/>
        <w:t>Contents/Tartalom</w:t>
      </w:r>
    </w:p>
    <w:p w:rsidR="00DB2C20" w:rsidRDefault="00DB2C20" w:rsidP="00DB2C20">
      <w:pPr>
        <w:suppressAutoHyphens/>
      </w:pPr>
    </w:p>
    <w:p w:rsidR="00DB2C20" w:rsidRDefault="00DB2C20" w:rsidP="00DB2C20">
      <w:pPr>
        <w:pStyle w:val="TJ1"/>
        <w:rPr>
          <w:rFonts w:ascii="Calibri" w:hAnsi="Calibri"/>
          <w:noProof/>
        </w:rPr>
      </w:pPr>
      <w:r>
        <w:fldChar w:fldCharType="begin"/>
      </w:r>
      <w:r>
        <w:instrText xml:space="preserve"> TOC \t "Címsor 1;1" </w:instrText>
      </w:r>
      <w:r>
        <w:fldChar w:fldCharType="separate"/>
      </w:r>
      <w:r>
        <w:rPr>
          <w:bCs/>
          <w:noProof/>
        </w:rPr>
        <w:t xml:space="preserve">Judit Kadar: Thinking International, Going Global: </w:t>
      </w:r>
      <w:r>
        <w:rPr>
          <w:noProof/>
        </w:rPr>
        <w:t xml:space="preserve">Internationalization </w:t>
      </w:r>
      <w:r>
        <w:rPr>
          <w:noProof/>
        </w:rPr>
        <w:br/>
        <w:t>in Higher Education</w:t>
      </w:r>
      <w:r>
        <w:rPr>
          <w:noProof/>
        </w:rPr>
        <w:tab/>
      </w:r>
      <w:fldSimple w:instr=" PAGEREF _Toc411602459 \h ">
        <w:r>
          <w:rPr>
            <w:noProof/>
          </w:rPr>
          <w:t>7</w:t>
        </w:r>
      </w:fldSimple>
    </w:p>
    <w:p w:rsidR="00DB2C20" w:rsidRDefault="00DB2C20" w:rsidP="00DB2C20">
      <w:pPr>
        <w:pStyle w:val="TJ1"/>
        <w:rPr>
          <w:rFonts w:ascii="Calibri" w:hAnsi="Calibri"/>
          <w:noProof/>
        </w:rPr>
      </w:pPr>
      <w:r>
        <w:rPr>
          <w:noProof/>
        </w:rPr>
        <w:t xml:space="preserve">Renáta Zsámba: International Strategies in Higher Education EKC </w:t>
      </w:r>
      <w:r>
        <w:rPr>
          <w:noProof/>
        </w:rPr>
        <w:br/>
        <w:t xml:space="preserve">2014: Good Practices and Challenges Reflected in the </w:t>
      </w:r>
      <w:r>
        <w:rPr>
          <w:noProof/>
        </w:rPr>
        <w:br/>
        <w:t>Session Talks</w:t>
      </w:r>
      <w:r>
        <w:rPr>
          <w:noProof/>
        </w:rPr>
        <w:tab/>
      </w:r>
      <w:fldSimple w:instr=" PAGEREF _Toc411602460 \h ">
        <w:r>
          <w:rPr>
            <w:noProof/>
          </w:rPr>
          <w:t>13</w:t>
        </w:r>
      </w:fldSimple>
    </w:p>
    <w:p w:rsidR="00DB2C20" w:rsidRDefault="00DB2C20" w:rsidP="00DB2C20">
      <w:pPr>
        <w:pStyle w:val="TJ1"/>
        <w:rPr>
          <w:rFonts w:ascii="Calibri" w:hAnsi="Calibri"/>
          <w:noProof/>
        </w:rPr>
      </w:pPr>
      <w:r>
        <w:rPr>
          <w:noProof/>
        </w:rPr>
        <w:t>Hans de Wit: Internationalisation of higher education: new meanings, rationales and approaches</w:t>
      </w:r>
      <w:r>
        <w:rPr>
          <w:noProof/>
        </w:rPr>
        <w:tab/>
      </w:r>
      <w:fldSimple w:instr=" PAGEREF _Toc411602461 \h ">
        <w:r>
          <w:rPr>
            <w:noProof/>
          </w:rPr>
          <w:t>18</w:t>
        </w:r>
      </w:fldSimple>
    </w:p>
    <w:p w:rsidR="00DB2C20" w:rsidRDefault="00DB2C20" w:rsidP="00DB2C20">
      <w:pPr>
        <w:pStyle w:val="TJ1"/>
        <w:rPr>
          <w:rFonts w:ascii="Calibri" w:hAnsi="Calibri"/>
          <w:noProof/>
        </w:rPr>
      </w:pPr>
      <w:r>
        <w:rPr>
          <w:noProof/>
        </w:rPr>
        <w:t xml:space="preserve">Réka Tóth-Dolenszky:  Internationalisation of Eszterházy Károly </w:t>
      </w:r>
      <w:r>
        <w:rPr>
          <w:noProof/>
        </w:rPr>
        <w:br/>
        <w:t xml:space="preserve">College and the Role of Mobility and Related Services in This </w:t>
      </w:r>
      <w:r>
        <w:rPr>
          <w:noProof/>
        </w:rPr>
        <w:br/>
        <w:t>Process</w:t>
      </w:r>
      <w:r>
        <w:rPr>
          <w:noProof/>
        </w:rPr>
        <w:tab/>
      </w:r>
      <w:fldSimple w:instr=" PAGEREF _Toc411602462 \h ">
        <w:r>
          <w:rPr>
            <w:noProof/>
          </w:rPr>
          <w:t>39</w:t>
        </w:r>
      </w:fldSimple>
    </w:p>
    <w:p w:rsidR="00DB2C20" w:rsidRDefault="00DB2C20" w:rsidP="00DB2C20">
      <w:pPr>
        <w:pStyle w:val="TJ1"/>
        <w:rPr>
          <w:rFonts w:ascii="Calibri" w:hAnsi="Calibri"/>
          <w:noProof/>
        </w:rPr>
      </w:pPr>
      <w:r>
        <w:rPr>
          <w:noProof/>
        </w:rPr>
        <w:t xml:space="preserve">Krisztina Godsave:  </w:t>
      </w:r>
      <w:r>
        <w:rPr>
          <w:i/>
          <w:noProof/>
        </w:rPr>
        <w:t>Don’t write me an essay:</w:t>
      </w:r>
      <w:r>
        <w:rPr>
          <w:noProof/>
        </w:rPr>
        <w:t xml:space="preserve"> Practical Approaches to </w:t>
      </w:r>
      <w:r>
        <w:rPr>
          <w:noProof/>
        </w:rPr>
        <w:br/>
        <w:t>Testing Business English</w:t>
      </w:r>
      <w:r>
        <w:rPr>
          <w:noProof/>
        </w:rPr>
        <w:tab/>
      </w:r>
      <w:fldSimple w:instr=" PAGEREF _Toc411602463 \h ">
        <w:r>
          <w:rPr>
            <w:noProof/>
          </w:rPr>
          <w:t>45</w:t>
        </w:r>
      </w:fldSimple>
    </w:p>
    <w:p w:rsidR="00DB2C20" w:rsidRDefault="00DB2C20" w:rsidP="00DB2C20">
      <w:pPr>
        <w:pStyle w:val="TJ1"/>
        <w:rPr>
          <w:rFonts w:ascii="Calibri" w:hAnsi="Calibri"/>
          <w:noProof/>
        </w:rPr>
      </w:pPr>
      <w:r>
        <w:rPr>
          <w:noProof/>
        </w:rPr>
        <w:t xml:space="preserve">Erika Gyöngyösi-Wiersum: Improving learning performance – </w:t>
      </w:r>
      <w:r>
        <w:rPr>
          <w:noProof/>
        </w:rPr>
        <w:br/>
        <w:t>Mathematics lessons across the borders</w:t>
      </w:r>
      <w:r>
        <w:rPr>
          <w:noProof/>
        </w:rPr>
        <w:tab/>
      </w:r>
      <w:fldSimple w:instr=" PAGEREF _Toc411602464 \h ">
        <w:r>
          <w:rPr>
            <w:noProof/>
          </w:rPr>
          <w:t>47</w:t>
        </w:r>
      </w:fldSimple>
    </w:p>
    <w:p w:rsidR="00DB2C20" w:rsidRDefault="00DB2C20" w:rsidP="00DB2C20">
      <w:pPr>
        <w:pStyle w:val="TJ1"/>
        <w:rPr>
          <w:rFonts w:ascii="Calibri" w:hAnsi="Calibri"/>
          <w:noProof/>
        </w:rPr>
      </w:pPr>
      <w:r>
        <w:rPr>
          <w:noProof/>
        </w:rPr>
        <w:t xml:space="preserve">Florence Fontaine </w:t>
      </w:r>
      <w:r>
        <w:rPr>
          <w:noProof/>
        </w:rPr>
        <w:sym w:font="Symbol" w:char="002D"/>
      </w:r>
      <w:r>
        <w:rPr>
          <w:noProof/>
        </w:rPr>
        <w:t xml:space="preserve"> Cecilia Rego </w:t>
      </w:r>
      <w:r>
        <w:rPr>
          <w:noProof/>
        </w:rPr>
        <w:sym w:font="Symbol" w:char="002D"/>
      </w:r>
      <w:r>
        <w:rPr>
          <w:noProof/>
        </w:rPr>
        <w:t xml:space="preserve"> Kálmán Zoltán Váczy:  COST </w:t>
      </w:r>
      <w:r>
        <w:rPr>
          <w:noProof/>
        </w:rPr>
        <w:br/>
        <w:t xml:space="preserve">Action, a European Relationship between Researchers and </w:t>
      </w:r>
      <w:r>
        <w:rPr>
          <w:noProof/>
        </w:rPr>
        <w:br/>
        <w:t>End-Users</w:t>
      </w:r>
      <w:r>
        <w:rPr>
          <w:noProof/>
        </w:rPr>
        <w:tab/>
      </w:r>
      <w:fldSimple w:instr=" PAGEREF _Toc411602465 \h ">
        <w:r>
          <w:rPr>
            <w:noProof/>
          </w:rPr>
          <w:t>53</w:t>
        </w:r>
      </w:fldSimple>
    </w:p>
    <w:p w:rsidR="00DB2C20" w:rsidRDefault="00DB2C20" w:rsidP="00DB2C20">
      <w:pPr>
        <w:pStyle w:val="TJ1"/>
        <w:rPr>
          <w:rFonts w:ascii="Calibri" w:hAnsi="Calibri"/>
          <w:noProof/>
        </w:rPr>
      </w:pPr>
      <w:r>
        <w:rPr>
          <w:noProof/>
        </w:rPr>
        <w:t xml:space="preserve">Josef Křeček: International field project on management of </w:t>
      </w:r>
      <w:r>
        <w:rPr>
          <w:noProof/>
        </w:rPr>
        <w:br/>
        <w:t>mountain watersheds: a challenge for citizen science and multi-disciplinary education</w:t>
      </w:r>
      <w:r>
        <w:rPr>
          <w:noProof/>
        </w:rPr>
        <w:tab/>
      </w:r>
      <w:fldSimple w:instr=" PAGEREF _Toc411602466 \h ">
        <w:r>
          <w:rPr>
            <w:noProof/>
          </w:rPr>
          <w:t>59</w:t>
        </w:r>
      </w:fldSimple>
    </w:p>
    <w:p w:rsidR="00DB2C20" w:rsidRDefault="00DB2C20" w:rsidP="00DB2C20">
      <w:pPr>
        <w:pStyle w:val="TJ1"/>
        <w:rPr>
          <w:rFonts w:ascii="Calibri" w:hAnsi="Calibri"/>
          <w:noProof/>
        </w:rPr>
      </w:pPr>
      <w:r>
        <w:rPr>
          <w:noProof/>
        </w:rPr>
        <w:t xml:space="preserve">Zsuzsanna Hanák </w:t>
      </w:r>
      <w:r>
        <w:rPr>
          <w:noProof/>
        </w:rPr>
        <w:sym w:font="Symbol" w:char="002D"/>
      </w:r>
      <w:r>
        <w:rPr>
          <w:noProof/>
        </w:rPr>
        <w:t xml:space="preserve"> László Kárpáti: The importance of school </w:t>
      </w:r>
      <w:r>
        <w:rPr>
          <w:noProof/>
        </w:rPr>
        <w:br/>
        <w:t xml:space="preserve">performance in the social integration of the Roma community – </w:t>
      </w:r>
      <w:r>
        <w:rPr>
          <w:noProof/>
        </w:rPr>
        <w:br/>
        <w:t>from a school psychologist’s point of view</w:t>
      </w:r>
      <w:r>
        <w:rPr>
          <w:noProof/>
        </w:rPr>
        <w:tab/>
      </w:r>
      <w:fldSimple w:instr=" PAGEREF _Toc411602467 \h ">
        <w:r>
          <w:rPr>
            <w:noProof/>
          </w:rPr>
          <w:t>65</w:t>
        </w:r>
      </w:fldSimple>
    </w:p>
    <w:p w:rsidR="00DB2C20" w:rsidRDefault="00DB2C20" w:rsidP="00DB2C20">
      <w:pPr>
        <w:pStyle w:val="TJ1"/>
        <w:rPr>
          <w:rFonts w:ascii="Calibri" w:hAnsi="Calibri"/>
          <w:noProof/>
        </w:rPr>
      </w:pPr>
      <w:r>
        <w:rPr>
          <w:noProof/>
        </w:rPr>
        <w:t xml:space="preserve">Prima Dona Hapsari:  Internalization Strategies of International </w:t>
      </w:r>
      <w:r>
        <w:rPr>
          <w:noProof/>
        </w:rPr>
        <w:br/>
        <w:t xml:space="preserve">Affairs Office in Promoting the Centre of Excellence in Art </w:t>
      </w:r>
      <w:r>
        <w:rPr>
          <w:noProof/>
        </w:rPr>
        <w:br/>
        <w:t>Education</w:t>
      </w:r>
      <w:r>
        <w:rPr>
          <w:noProof/>
        </w:rPr>
        <w:tab/>
      </w:r>
      <w:fldSimple w:instr=" PAGEREF _Toc411602468 \h ">
        <w:r>
          <w:rPr>
            <w:noProof/>
          </w:rPr>
          <w:t>73</w:t>
        </w:r>
      </w:fldSimple>
    </w:p>
    <w:p w:rsidR="00DB2C20" w:rsidRDefault="00DB2C20" w:rsidP="00DB2C20">
      <w:pPr>
        <w:pStyle w:val="TJ1"/>
        <w:rPr>
          <w:rFonts w:ascii="Calibri" w:hAnsi="Calibri"/>
          <w:noProof/>
        </w:rPr>
      </w:pPr>
      <w:r>
        <w:rPr>
          <w:noProof/>
        </w:rPr>
        <w:t xml:space="preserve">Judit Kelemen:  Introducing Intercultural Elements into Lower </w:t>
      </w:r>
      <w:r>
        <w:rPr>
          <w:noProof/>
        </w:rPr>
        <w:br/>
        <w:t>Primary Music and Art Education</w:t>
      </w:r>
      <w:r>
        <w:rPr>
          <w:noProof/>
        </w:rPr>
        <w:tab/>
      </w:r>
      <w:fldSimple w:instr=" PAGEREF _Toc411602469 \h ">
        <w:r>
          <w:rPr>
            <w:noProof/>
          </w:rPr>
          <w:t>83</w:t>
        </w:r>
      </w:fldSimple>
    </w:p>
    <w:p w:rsidR="00DB2C20" w:rsidRDefault="00DB2C20" w:rsidP="00DB2C20">
      <w:pPr>
        <w:pStyle w:val="TJ1"/>
        <w:rPr>
          <w:rFonts w:ascii="Calibri" w:hAnsi="Calibri"/>
          <w:noProof/>
        </w:rPr>
      </w:pPr>
      <w:r>
        <w:rPr>
          <w:noProof/>
        </w:rPr>
        <w:t xml:space="preserve">Andrea Schmidt:  Towards a common education area in the Visegrad </w:t>
      </w:r>
      <w:r>
        <w:rPr>
          <w:noProof/>
        </w:rPr>
        <w:br/>
        <w:t xml:space="preserve">region – International Relations in Visegrad Perspective – </w:t>
      </w:r>
      <w:r>
        <w:rPr>
          <w:noProof/>
        </w:rPr>
        <w:br/>
        <w:t xml:space="preserve">a joint MA programme with the participation of the Univeristy </w:t>
      </w:r>
      <w:r>
        <w:rPr>
          <w:noProof/>
        </w:rPr>
        <w:br/>
        <w:t>of Pécs, Hungary</w:t>
      </w:r>
      <w:r>
        <w:rPr>
          <w:noProof/>
        </w:rPr>
        <w:tab/>
      </w:r>
      <w:fldSimple w:instr=" PAGEREF _Toc411602470 \h ">
        <w:r>
          <w:rPr>
            <w:noProof/>
          </w:rPr>
          <w:t>92</w:t>
        </w:r>
      </w:fldSimple>
    </w:p>
    <w:p w:rsidR="00DB2C20" w:rsidRDefault="00DB2C20" w:rsidP="00DB2C20">
      <w:pPr>
        <w:pStyle w:val="TJ1"/>
        <w:rPr>
          <w:rFonts w:ascii="Calibri" w:hAnsi="Calibri"/>
          <w:noProof/>
        </w:rPr>
      </w:pPr>
      <w:r>
        <w:rPr>
          <w:noProof/>
        </w:rPr>
        <w:t>Petrásovits Ágnes:  Idegen nyelvi mentorálás az EKF oktatói számára</w:t>
      </w:r>
      <w:r>
        <w:rPr>
          <w:noProof/>
        </w:rPr>
        <w:tab/>
      </w:r>
      <w:fldSimple w:instr=" PAGEREF _Toc411602471 \h ">
        <w:r>
          <w:rPr>
            <w:noProof/>
          </w:rPr>
          <w:t>102</w:t>
        </w:r>
      </w:fldSimple>
    </w:p>
    <w:p w:rsidR="00DB2C20" w:rsidRDefault="00DB2C20" w:rsidP="00DB2C20">
      <w:pPr>
        <w:pStyle w:val="TJ1"/>
        <w:rPr>
          <w:rFonts w:ascii="Calibri" w:hAnsi="Calibri"/>
          <w:noProof/>
        </w:rPr>
      </w:pPr>
      <w:r>
        <w:rPr>
          <w:noProof/>
        </w:rPr>
        <w:t>Tóth Éva:  Változtass, hogy változhass! – Gondolatok az orosz nyelvi coaching programról</w:t>
      </w:r>
      <w:r>
        <w:rPr>
          <w:noProof/>
        </w:rPr>
        <w:tab/>
      </w:r>
      <w:fldSimple w:instr=" PAGEREF _Toc411602472 \h ">
        <w:r>
          <w:rPr>
            <w:noProof/>
          </w:rPr>
          <w:t>106</w:t>
        </w:r>
      </w:fldSimple>
    </w:p>
    <w:p w:rsidR="00DB2C20" w:rsidRDefault="00DB2C20" w:rsidP="00DB2C20">
      <w:pPr>
        <w:pStyle w:val="TJ1"/>
        <w:rPr>
          <w:rFonts w:ascii="Calibri" w:hAnsi="Calibri"/>
          <w:noProof/>
        </w:rPr>
      </w:pPr>
      <w:r>
        <w:rPr>
          <w:noProof/>
        </w:rPr>
        <w:lastRenderedPageBreak/>
        <w:t>Petrásovits Ágnes:  A nem idegen nyelv szakos hallgatók idegen nyelvi képzése az Eszterházy Károly Főiskolán</w:t>
      </w:r>
      <w:r>
        <w:rPr>
          <w:noProof/>
        </w:rPr>
        <w:tab/>
      </w:r>
      <w:fldSimple w:instr=" PAGEREF _Toc411602473 \h ">
        <w:r>
          <w:rPr>
            <w:noProof/>
          </w:rPr>
          <w:t>115</w:t>
        </w:r>
      </w:fldSimple>
    </w:p>
    <w:p w:rsidR="00DB2C20" w:rsidRDefault="00DB2C20" w:rsidP="00DB2C20">
      <w:pPr>
        <w:pStyle w:val="TJ1"/>
        <w:rPr>
          <w:rFonts w:ascii="Calibri" w:hAnsi="Calibri"/>
          <w:noProof/>
        </w:rPr>
      </w:pPr>
      <w:r>
        <w:rPr>
          <w:noProof/>
        </w:rPr>
        <w:t>Tóth Éva:  Hogyan tovább?: A gazdasági szaknyelvoktatás és nyelvvizsgáztatás gyakorlata az Eszterházy Károly Főiskolán</w:t>
      </w:r>
      <w:r>
        <w:rPr>
          <w:noProof/>
        </w:rPr>
        <w:tab/>
      </w:r>
      <w:fldSimple w:instr=" PAGEREF _Toc411602474 \h ">
        <w:r>
          <w:rPr>
            <w:noProof/>
          </w:rPr>
          <w:t>120</w:t>
        </w:r>
      </w:fldSimple>
    </w:p>
    <w:p w:rsidR="00DB2C20" w:rsidRDefault="00DB2C20" w:rsidP="00DB2C20">
      <w:pPr>
        <w:pStyle w:val="TJ1"/>
        <w:rPr>
          <w:rFonts w:ascii="Calibri" w:hAnsi="Calibri"/>
          <w:noProof/>
        </w:rPr>
      </w:pPr>
      <w:r>
        <w:rPr>
          <w:noProof/>
        </w:rPr>
        <w:t>Vinnainé Vékony Márta: Interkulturális elemek az általános iskolai nyelvoktatásban</w:t>
      </w:r>
      <w:r>
        <w:rPr>
          <w:noProof/>
        </w:rPr>
        <w:tab/>
      </w:r>
      <w:fldSimple w:instr=" PAGEREF _Toc411602475 \h ">
        <w:r>
          <w:rPr>
            <w:noProof/>
          </w:rPr>
          <w:t>128</w:t>
        </w:r>
      </w:fldSimple>
    </w:p>
    <w:p w:rsidR="00DB2C20" w:rsidRDefault="00DB2C20" w:rsidP="00DB2C20">
      <w:pPr>
        <w:pStyle w:val="TJ1"/>
        <w:rPr>
          <w:rFonts w:ascii="Calibri" w:hAnsi="Calibri"/>
          <w:noProof/>
        </w:rPr>
      </w:pPr>
      <w:r>
        <w:rPr>
          <w:noProof/>
        </w:rPr>
        <w:t xml:space="preserve">Érsek Attila:  Megváltoztatja-e az Edu2.0 a tanítási-tanulási </w:t>
      </w:r>
      <w:r>
        <w:rPr>
          <w:noProof/>
        </w:rPr>
        <w:br/>
        <w:t>folyamatokat, szokásokat?</w:t>
      </w:r>
      <w:r>
        <w:rPr>
          <w:noProof/>
        </w:rPr>
        <w:tab/>
      </w:r>
      <w:fldSimple w:instr=" PAGEREF _Toc411602476 \h ">
        <w:r>
          <w:rPr>
            <w:noProof/>
          </w:rPr>
          <w:t>135</w:t>
        </w:r>
      </w:fldSimple>
    </w:p>
    <w:p w:rsidR="00DB2C20" w:rsidRDefault="00DB2C20" w:rsidP="00DB2C20">
      <w:pPr>
        <w:pStyle w:val="TJ1"/>
        <w:rPr>
          <w:rFonts w:ascii="Calibri" w:hAnsi="Calibri"/>
          <w:noProof/>
        </w:rPr>
      </w:pPr>
      <w:r>
        <w:rPr>
          <w:noProof/>
        </w:rPr>
        <w:t xml:space="preserve">Spiczéné Bukovszki Edit: Innovatív módszerek a (nyelv)tanítás </w:t>
      </w:r>
      <w:r>
        <w:rPr>
          <w:noProof/>
        </w:rPr>
        <w:br/>
        <w:t>hatékony tanulássá alakítására</w:t>
      </w:r>
      <w:r>
        <w:rPr>
          <w:noProof/>
        </w:rPr>
        <w:tab/>
      </w:r>
      <w:fldSimple w:instr=" PAGEREF _Toc411602477 \h ">
        <w:r>
          <w:rPr>
            <w:noProof/>
          </w:rPr>
          <w:t>153</w:t>
        </w:r>
      </w:fldSimple>
    </w:p>
    <w:p w:rsidR="00DB2C20" w:rsidRDefault="00DB2C20" w:rsidP="00DB2C20">
      <w:pPr>
        <w:pStyle w:val="TJ1"/>
        <w:rPr>
          <w:rFonts w:ascii="Calibri" w:hAnsi="Calibri"/>
          <w:noProof/>
        </w:rPr>
      </w:pPr>
      <w:r>
        <w:rPr>
          <w:noProof/>
        </w:rPr>
        <w:t xml:space="preserve">Jaskóné Dr. Gácsi Mária:  Hagyományok sokszínűsége, nemzeti </w:t>
      </w:r>
      <w:r>
        <w:rPr>
          <w:noProof/>
        </w:rPr>
        <w:br/>
        <w:t>identitás, drámapedagógia</w:t>
      </w:r>
      <w:r>
        <w:rPr>
          <w:noProof/>
        </w:rPr>
        <w:tab/>
      </w:r>
      <w:fldSimple w:instr=" PAGEREF _Toc411602478 \h ">
        <w:r>
          <w:rPr>
            <w:noProof/>
          </w:rPr>
          <w:t>169</w:t>
        </w:r>
      </w:fldSimple>
    </w:p>
    <w:p w:rsidR="00DB2C20" w:rsidRDefault="00DB2C20" w:rsidP="00DB2C20">
      <w:pPr>
        <w:pStyle w:val="TJ1"/>
        <w:rPr>
          <w:rFonts w:ascii="Calibri" w:hAnsi="Calibri"/>
          <w:noProof/>
        </w:rPr>
      </w:pPr>
      <w:r>
        <w:rPr>
          <w:noProof/>
        </w:rPr>
        <w:t xml:space="preserve">Tóth Éva – Vincze Mária:  Sikerek és kudarcok: Egy anyanyelvi </w:t>
      </w:r>
      <w:r>
        <w:rPr>
          <w:noProof/>
        </w:rPr>
        <w:br/>
        <w:t>hallásértési vizsgálat tanulságai</w:t>
      </w:r>
      <w:r>
        <w:rPr>
          <w:noProof/>
        </w:rPr>
        <w:tab/>
      </w:r>
      <w:fldSimple w:instr=" PAGEREF _Toc411602479 \h ">
        <w:r>
          <w:rPr>
            <w:noProof/>
          </w:rPr>
          <w:t>180</w:t>
        </w:r>
      </w:fldSimple>
    </w:p>
    <w:p w:rsidR="00DB2C20" w:rsidRDefault="00DB2C20" w:rsidP="00DB2C20">
      <w:pPr>
        <w:pStyle w:val="TJ1"/>
        <w:rPr>
          <w:rFonts w:ascii="Calibri" w:hAnsi="Calibri"/>
          <w:noProof/>
        </w:rPr>
      </w:pPr>
      <w:r>
        <w:rPr>
          <w:noProof/>
        </w:rPr>
        <w:t>Csorba László:  Kontraszelekció és a hazai felsőoktatás</w:t>
      </w:r>
      <w:r>
        <w:rPr>
          <w:noProof/>
        </w:rPr>
        <w:tab/>
      </w:r>
      <w:fldSimple w:instr=" PAGEREF _Toc411602480 \h ">
        <w:r>
          <w:rPr>
            <w:noProof/>
          </w:rPr>
          <w:t>203</w:t>
        </w:r>
      </w:fldSimple>
    </w:p>
    <w:p w:rsidR="00DB2C20" w:rsidRDefault="00DB2C20" w:rsidP="00DB2C20">
      <w:pPr>
        <w:pStyle w:val="TJ1"/>
        <w:rPr>
          <w:rFonts w:ascii="Calibri" w:hAnsi="Calibri"/>
          <w:noProof/>
        </w:rPr>
      </w:pPr>
      <w:r>
        <w:rPr>
          <w:noProof/>
        </w:rPr>
        <w:t>About the Authors</w:t>
      </w:r>
      <w:r>
        <w:rPr>
          <w:noProof/>
        </w:rPr>
        <w:tab/>
      </w:r>
      <w:fldSimple w:instr=" PAGEREF _Toc411602481 \h ">
        <w:r>
          <w:rPr>
            <w:noProof/>
          </w:rPr>
          <w:t>219</w:t>
        </w:r>
      </w:fldSimple>
    </w:p>
    <w:p w:rsidR="00DB2C20" w:rsidRDefault="00DB2C20" w:rsidP="00DB2C20">
      <w:pPr>
        <w:suppressAutoHyphens/>
        <w:spacing w:line="360" w:lineRule="auto"/>
        <w:ind w:left="284" w:hanging="284"/>
      </w:pPr>
      <w:r>
        <w:fldChar w:fldCharType="end"/>
      </w:r>
    </w:p>
    <w:p w:rsidR="00DB2C20" w:rsidRDefault="00DB2C20" w:rsidP="00DB2C20">
      <w:pPr>
        <w:autoSpaceDE/>
        <w:autoSpaceDN/>
        <w:adjustRightInd/>
        <w:ind w:firstLine="0"/>
        <w:jc w:val="left"/>
        <w:rPr>
          <w:b/>
          <w:bCs/>
          <w:caps/>
          <w:spacing w:val="2"/>
          <w:sz w:val="32"/>
          <w:szCs w:val="28"/>
        </w:rPr>
        <w:sectPr w:rsidR="00DB2C20">
          <w:footnotePr>
            <w:numRestart w:val="eachSect"/>
          </w:footnotePr>
          <w:type w:val="oddPage"/>
          <w:pgSz w:w="10319" w:h="14572"/>
          <w:pgMar w:top="1701" w:right="1814" w:bottom="2098" w:left="1361" w:header="0" w:footer="1418" w:gutter="0"/>
          <w:pgNumType w:start="5"/>
          <w:cols w:space="708"/>
        </w:sectPr>
      </w:pPr>
    </w:p>
    <w:p w:rsidR="00DB2C20" w:rsidRDefault="00DB2C20" w:rsidP="00DB2C20">
      <w:pPr>
        <w:suppressAutoHyphens/>
      </w:pPr>
    </w:p>
    <w:p w:rsidR="00DB2C20" w:rsidRDefault="00DB2C20" w:rsidP="00DB2C20">
      <w:pPr>
        <w:pStyle w:val="Cmsor1"/>
        <w:suppressAutoHyphens/>
        <w:rPr>
          <w:szCs w:val="28"/>
        </w:rPr>
      </w:pPr>
      <w:bookmarkStart w:id="1" w:name="_Toc411602459"/>
      <w:r>
        <w:rPr>
          <w:bCs/>
          <w:szCs w:val="28"/>
        </w:rPr>
        <w:t>Judit Kadar</w:t>
      </w:r>
      <w:r>
        <w:rPr>
          <w:bCs/>
          <w:szCs w:val="28"/>
        </w:rPr>
        <w:br/>
      </w:r>
      <w:r>
        <w:rPr>
          <w:bCs/>
          <w:szCs w:val="28"/>
        </w:rPr>
        <w:br/>
        <w:t xml:space="preserve">Thinking International, Going Global: </w:t>
      </w:r>
      <w:r>
        <w:rPr>
          <w:szCs w:val="28"/>
        </w:rPr>
        <w:t>Internationalization in Higher Education</w:t>
      </w:r>
      <w:bookmarkEnd w:id="1"/>
    </w:p>
    <w:p w:rsidR="00DB2C20" w:rsidRDefault="00DB2C20" w:rsidP="00DB2C20">
      <w:pPr>
        <w:suppressAutoHyphens/>
      </w:pPr>
      <w:r>
        <w:t xml:space="preserve">Academics and other agents in higher education have a shared challenge facing a paradigm shift in higer education. </w:t>
      </w:r>
      <w:proofErr w:type="gramStart"/>
      <w:r>
        <w:t>The facilitators of international relations and mobility, the providers of foreign language and intercultural services, project managers and coordinators, decision makers and administrators supporting all these activities all need to understand the opportunities, processes, context, goals, difficulties and best practices in internationalization today.We share certain profound perceptions regarding the relevance of developing international partnerships, fostering collaboration, improving related services and promoting the idea of global knowledge networks and knowledge, these insights, however,</w:t>
      </w:r>
      <w:proofErr w:type="gramEnd"/>
      <w:r>
        <w:t xml:space="preserve"> ask two questions of us: first, are we familiar with the broader concept of internationalization and secondly, are we familiar with the tools and methods available to further these operations successfully thus contributing to the overall success of our universities? </w:t>
      </w:r>
    </w:p>
    <w:p w:rsidR="00DB2C20" w:rsidRDefault="00DB2C20" w:rsidP="00DB2C20">
      <w:pPr>
        <w:suppressAutoHyphens/>
      </w:pPr>
      <w:r>
        <w:t xml:space="preserve">The internationalization of higher education has become an increasingly common feature of our third level institution over the past 25 years and those involved in the field are now looking to the next phase. This comes at a time </w:t>
      </w:r>
      <w:r>
        <w:rPr>
          <w:bCs/>
        </w:rPr>
        <w:t>when the dynamic field of international education is undergoing some of the greatest transformations in all aspects of teaching, learning and administration</w:t>
      </w:r>
      <w:r>
        <w:t xml:space="preserve">. Will this transformation change the mould of the traditional higher education institution? What do the next 25 years have in store for us? (Prague EAIE 2014 CFP, </w:t>
      </w:r>
      <w:r>
        <w:tab/>
      </w:r>
      <w:r>
        <w:br/>
        <w:t>http://www.eaie.org/home/conference/prague/programme.html)</w:t>
      </w:r>
    </w:p>
    <w:p w:rsidR="00DB2C20" w:rsidRDefault="00DB2C20" w:rsidP="00DB2C20">
      <w:pPr>
        <w:suppressAutoHyphens/>
      </w:pPr>
      <w:r>
        <w:t xml:space="preserve">If we wish to better understand these transformations and wish to take effective control over the development of our university, it is essential to clarify the notion of internationalization. Most simplified definitions refer to “the design of an educational curriculum that will enable students to thrive in foreign countries and in their interactions with other cultures” (http://www.investopedia.com/terms/i/internationalization.asp). However, I believe that internationalization means so much more than this, namely academic and student mobility, research collaboration and institutional partnership development, within the broader global framework of internationalization. Hans de Wit’s essay entitled “Internationalization in European higher education: European policies, institutional strategies and EUA support” (EUA membership consultation, 2013 </w:t>
      </w:r>
      <w:r>
        <w:tab/>
      </w:r>
      <w:r>
        <w:br/>
        <w:t>http://www.eua.be/Libraries/Higher_Education/EUA_International_Survey.sflb.ashx) provides a fundamental understanding of the term, its relevance and its European context.</w:t>
      </w:r>
    </w:p>
    <w:p w:rsidR="00DB2C20" w:rsidRDefault="00DB2C20" w:rsidP="00DB2C20">
      <w:pPr>
        <w:suppressAutoHyphens/>
        <w:rPr>
          <w:b/>
          <w:bCs/>
        </w:rPr>
      </w:pPr>
      <w:r>
        <w:t xml:space="preserve">Nevertheless, similarly to other widely known paradigms in culture and education, it can easily become a vague catchphrase that lacks the comprehension of its meaning and relevance as an essential tool. For instance those who elaborate various European projects at the institutional level and represent one particular academic field, are not necessarily familiar with the broader context of the mobility, partnership building or research collaboration activity generated in/by that given project. Moreover, if </w:t>
      </w:r>
      <w:proofErr w:type="gramStart"/>
      <w:r>
        <w:t>a</w:t>
      </w:r>
      <w:proofErr w:type="gramEnd"/>
      <w:r>
        <w:t xml:space="preserve"> university and its management and international relations staff does not have a properly accentuated internationalization strategy, then single initiatives at the individual or smaller unit level may not fit a larger strategic line of development for the institution, they may not work in synergy. Does the management understand its relevance? Does it support it? Is there a creative and supportive academic environment and proper communication between the academic units and the international office? Are the units aware of the services provided by the IRO/CIR and do they utilize those effectively? Do the project managers think in terms of this synergy or just focus </w:t>
      </w:r>
      <w:r>
        <w:lastRenderedPageBreak/>
        <w:t>on carrying out their particular tasks that are somehow related to internationalization? Do the academics and administrators understand the relevance of their contribution and do students, educators and researchers understand the relevance and impact of their mobility activities? Are there clear indicators to measure the positive changes and can the institution develop steadily due to all the international operations practiced under its umbrella? And finally, do we all understand that the quality work and happy community life of any university greatly depends on how successful internationalization works there?</w:t>
      </w:r>
    </w:p>
    <w:p w:rsidR="00DB2C20" w:rsidRDefault="00DB2C20" w:rsidP="00DB2C20">
      <w:pPr>
        <w:suppressAutoHyphens/>
      </w:pPr>
      <w:r>
        <w:t xml:space="preserve">In the past it was enough for </w:t>
      </w:r>
      <w:proofErr w:type="gramStart"/>
      <w:r>
        <w:t>a</w:t>
      </w:r>
      <w:proofErr w:type="gramEnd"/>
      <w:r>
        <w:t xml:space="preserve"> university to secure its status by employing competent educators, supporting successful research, maintaining well-equipped laboratories and well-stocked libraries, and nurturing its sports clubs.. Of course, public or private funding has always made a difference, but the international component (e.g. foreign student and academic proportion, active relations with partners) has played a limited role in the overall success of any given institution. International relations could simply “follow the funding source” tactics and random academic visits that occasionally resulted in fruitful collaborations in one or more fields. </w:t>
      </w:r>
      <w:proofErr w:type="gramStart"/>
      <w:r>
        <w:t>Nowadays, though, accomplished researchers, great educators, effective and goal-oriented management, strategic planning, powerful services and infrastructure, an extensive institutional network (domestic and global), unique programs, a helpful municipal environment and many more factors have to exist in a creative synergy that is able to face the financial challenges, the diversified needs of an emerging new student population and the national and international competition posed by other third-level institutions.</w:t>
      </w:r>
      <w:proofErr w:type="gramEnd"/>
      <w:r>
        <w:t xml:space="preserve"> </w:t>
      </w:r>
    </w:p>
    <w:p w:rsidR="00DB2C20" w:rsidRDefault="00DB2C20" w:rsidP="00DB2C20">
      <w:pPr>
        <w:suppressAutoHyphens/>
      </w:pPr>
      <w:r>
        <w:t xml:space="preserve">These challenges demand a set of skills previously unknown in higher education, skills that mostly come from the field of business. Project-oriented thinking at all levels seems to be a prerequisite of successful work in mobility, grant and funding applications, academic networking, partnership development, just to mention a few. Besides, high level foreign (mostly English) language and intercultural skills are also necessary to communicate in the international arena. As for the institution itself, more complex, advanced, rapid and flexible administrative services are needed, along with an astute management team that is familiar with the strengths and weaknesses (SWOT) of their university and can plan and develop following clear strategic directions and priorities with a clear focus. Most need to possess at least some PR, marketing and even branding skills, or should hire personnel able to operate in these areas. If the staff and management knows how to provide market sensitive education and research (e.g. joint degrees, clusters), they surely can better meet the new challenges in </w:t>
      </w:r>
      <w:proofErr w:type="gramStart"/>
      <w:r>
        <w:t>HE</w:t>
      </w:r>
      <w:proofErr w:type="gramEnd"/>
      <w:r>
        <w:t>. In addition, no university can operate successfully in seclusion: on the one hand a network of international partner institutions can enhance a dynamic student and academic life and promote collaboration on research projects. and on the other, the national and international organizations promoting higher education can actively support the individuals and units with financial resources as well as know-how required for good practices and regulations. In the Central European context, enterprising individuals possessing up-to-the-minute knowledge of European Union regulations, available funding sources and methods and networks of national organizations, as well as having the ability to consolidate the information they gather from all these areas, are an essential element to successfully meeting the challenges and achieving excellency in the university rankings.</w:t>
      </w:r>
    </w:p>
    <w:p w:rsidR="00DB2C20" w:rsidRDefault="00DB2C20" w:rsidP="00DB2C20">
      <w:pPr>
        <w:suppressAutoHyphens/>
      </w:pPr>
      <w:r>
        <w:t xml:space="preserve">As for the latter, let us take a brief look at what factors the Global U-Ranking of the 2013 EUA Report measures (“Global University Rankings and Their Impact: Report II.” </w:t>
      </w:r>
      <w:r>
        <w:rPr>
          <w:i/>
        </w:rPr>
        <w:t>EUA Report on Rankings</w:t>
      </w:r>
      <w:r>
        <w:t xml:space="preserve">, Brussels: European University Association, 2013) in order to test our perceptions of the performance of our university and the areas requiring improvement. According to this report, universities need to develop a growing awareness and relevance of the international components in general. It is a straightforward task to establish the proportion of international students and staff, and the number of papers and research projects involving international cooperation. However, the intensity, efficiency and outcomes of these collaborations can be evaluated in various ways, and the same applies to the international teaching and research reputation of </w:t>
      </w:r>
      <w:proofErr w:type="gramStart"/>
      <w:r>
        <w:t>a</w:t>
      </w:r>
      <w:proofErr w:type="gramEnd"/>
      <w:r>
        <w:t xml:space="preserve"> university, we can only measure such features with a combination of objective data and more subjective perceptions. Paradoxically, U-MAP and Mixed Ranking emphasizes the relevance of qualitative and quantitative data </w:t>
      </w:r>
      <w:r>
        <w:lastRenderedPageBreak/>
        <w:t>assessment, strategic planning and development. How can an institution and its management resolve the contradictions, provide an appropriate assessment of its potentials and formulate a clear strategy for its future development? And finally, how can we communicate it to the global public?</w:t>
      </w:r>
    </w:p>
    <w:p w:rsidR="00DB2C20" w:rsidRDefault="00DB2C20" w:rsidP="00DB2C20">
      <w:pPr>
        <w:suppressAutoHyphens/>
        <w:spacing w:line="276" w:lineRule="auto"/>
        <w:ind w:firstLine="567"/>
      </w:pPr>
      <w:r>
        <w:t xml:space="preserve">Well, we may all share concerns about the complexity of internationalization. Increasing numbers of reports, conferences and workshops attempt to aid those working in the fast-expanding and multifaceted situation in </w:t>
      </w:r>
      <w:proofErr w:type="gramStart"/>
      <w:r>
        <w:t>HE</w:t>
      </w:r>
      <w:proofErr w:type="gramEnd"/>
      <w:r>
        <w:t xml:space="preserve">, nonetheless I am convinced that sensitive implementation tailored to the given university and dedicated facilitators are absolutely essential in the current climate. </w:t>
      </w:r>
    </w:p>
    <w:p w:rsidR="00DB2C20" w:rsidRDefault="00DB2C20" w:rsidP="00DB2C20">
      <w:pPr>
        <w:suppressAutoHyphens/>
        <w:spacing w:line="276" w:lineRule="auto"/>
        <w:ind w:firstLine="567"/>
      </w:pPr>
      <w:r>
        <w:t xml:space="preserve">Let us take an example all of us are familiar with to a certain extent: the notion of mobility. When any institution claims to have intensive mobility, it seems almost too vague and subjective a category to apply. József Temesi posed the question at a Hungarian Rectors’ Conference workshop (Gödöllő, May 2014) and explored the problem of measuring factors in internationalization, and mobility in particular. What exactly does it mean, a three-day conference trip, a three months stipendium, or a three year degree program or postdoctoral research for inbound or outbound students or a faculty? What is the target? 20 or any %, of what, and increase of what? What to measure and are numbers really comparable (e.g. knowledge gain and employability)? Another presenter at the same workshop, Michael Gabel, (EUA) continued with a shortlist of other related problems, namely social bias, co-financing issues, the gap between policy and practice, the constant challenge of recruiting, the frequent lack of resources (including financial and human), the problem of grading and credit transfer, the ability of the academic staff and many more. These difficulties claim for the clarification of notions we apply, the exchange of good practices and obviously effective solutions. </w:t>
      </w:r>
    </w:p>
    <w:p w:rsidR="00DB2C20" w:rsidRDefault="00DB2C20" w:rsidP="00DB2C20">
      <w:pPr>
        <w:suppressAutoHyphens/>
        <w:spacing w:line="276" w:lineRule="auto"/>
        <w:ind w:firstLine="567"/>
      </w:pPr>
      <w:r>
        <w:t xml:space="preserve">Although the challenges and the complexities of internationalization demand great effort and time from us, there are new areas in which interesting and innovative solutions are surfacing. There are new collaborative work formats (e.g. cluster, joint grant, dual degree programs) and there are new education formats and technologies, too, for instance E-learning, MOOCs and intercultural training that all require the aforementioned new skills and approaches, but which also offer non-traditional roads to success in higher education. New forums (e.g. fairs, grant schemes and related conferences like ACA, EUA events) provide us with information and knowledge transfer opportunities, and last but not least, </w:t>
      </w:r>
      <w:proofErr w:type="gramStart"/>
      <w:r>
        <w:t>HE</w:t>
      </w:r>
      <w:proofErr w:type="gramEnd"/>
      <w:r>
        <w:t xml:space="preserve"> is increasingly borrowing from the world of business, since marketing, branding, data and risk analysis, management training, competition, entrepreneurial attitudes and applying business performances have become an integral part of our day-to-day work. </w:t>
      </w:r>
    </w:p>
    <w:p w:rsidR="00DB2C20" w:rsidRDefault="00DB2C20" w:rsidP="00DB2C20">
      <w:pPr>
        <w:suppressAutoHyphens/>
        <w:spacing w:line="276" w:lineRule="auto"/>
        <w:ind w:firstLine="567"/>
        <w:rPr>
          <w:bCs/>
        </w:rPr>
      </w:pPr>
      <w:r>
        <w:t>Eszterházy College is dedicated to promoting quality education, cutting-edge research, mutually beneficial collaborations and services for the entire university community. The management and the Center for International Relations seek effective ways to promote internationalization and the exchange of ideas and good practices. This goal has driven the selection of topics for the 2014 conference on good practices in internationalization, and the contents of the proceedings follows on the topics we believe relevant in the current Hungarian and Central European context of higher education. Fruitful practices in a</w:t>
      </w:r>
      <w:r>
        <w:rPr>
          <w:bCs/>
        </w:rPr>
        <w:t xml:space="preserve">cademic networking have been shared and discussed in the hope that individual academics and doctoral students may utilize them. For those visiting other countries, marketing our universities and educational services abroad is always a challenge, thus we also facilitated a dialogue concerning old and new methods and approaches. The various academic and administrative units all need to know how to properly facilitate international partners and students in Hungary as well as abroad, for instance at embassies and cultural centers. What </w:t>
      </w:r>
      <w:r>
        <w:rPr>
          <w:bCs/>
        </w:rPr>
        <w:lastRenderedPageBreak/>
        <w:t xml:space="preserve">sources and tools to apply and how to incorporate intercultural knowledge at the same time? How to handle administrative challenges and identify the best practices in international project management and efficient, high quality mobility services? What are the grant schemes and other funding sources available for individuals and institutions and how to apply them successfully? How to enhance learning performance in foreign language teaching and exams, and how can coaching/ mentoring help academics in/for the global arena? How can intercultural education function best and how can E-learning be incorporated into learning across borders? Furthermore, how can degree and non-degree programs work between partners, what is their most effective marketing through cultural diplomacy? I am sure that there isn`t </w:t>
      </w:r>
      <w:proofErr w:type="gramStart"/>
      <w:r>
        <w:rPr>
          <w:bCs/>
        </w:rPr>
        <w:t>a</w:t>
      </w:r>
      <w:proofErr w:type="gramEnd"/>
      <w:r>
        <w:rPr>
          <w:bCs/>
        </w:rPr>
        <w:t xml:space="preserve"> university today not grappling with these questions and I am pleased to see how much we could learn from one another at the conference and look forward to the International Week and Dr. de Wit’s special workshop on internationalization in October, 2014. As for the June conference, sharing the outcomes of the dynamicroundtable discussions as well as the wonderful papers presented in the workshops in this book is a wonderful opportunity for us to provide the knowledge accrued to not only the conference participants but to all our international partners and those working in international relations globally. We hope it will assist you in advancing your campus with quality internationalization strategies and to </w:t>
      </w:r>
      <w:proofErr w:type="gramStart"/>
      <w:r>
        <w:rPr>
          <w:bCs/>
        </w:rPr>
        <w:t>be(</w:t>
      </w:r>
      <w:proofErr w:type="gramEnd"/>
      <w:r>
        <w:rPr>
          <w:bCs/>
        </w:rPr>
        <w:t>come) content partners of Eszterházy College and successful in all areas of your own work.</w:t>
      </w:r>
    </w:p>
    <w:p w:rsidR="00DB2C20" w:rsidRDefault="00DB2C20" w:rsidP="00DB2C20">
      <w:pPr>
        <w:suppressAutoHyphens/>
        <w:spacing w:line="276" w:lineRule="auto"/>
        <w:jc w:val="center"/>
        <w:rPr>
          <w:b/>
          <w:iCs/>
        </w:rPr>
      </w:pPr>
      <w:r>
        <w:rPr>
          <w:b/>
          <w:iCs/>
        </w:rPr>
        <w:t>***</w:t>
      </w:r>
    </w:p>
    <w:sectPr w:rsidR="00DB2C20" w:rsidSect="00000F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ntinel Book">
    <w:altName w:val="Arial"/>
    <w:panose1 w:val="00000000000000000000"/>
    <w:charset w:val="00"/>
    <w:family w:val="modern"/>
    <w:notTrueType/>
    <w:pitch w:val="variable"/>
    <w:sig w:usb0="00000001" w:usb1="4000004A" w:usb2="00000000" w:usb3="00000000" w:csb0="0000009B"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numRestart w:val="eachSect"/>
  </w:footnotePr>
  <w:compat/>
  <w:rsids>
    <w:rsidRoot w:val="00DB2C20"/>
    <w:rsid w:val="00000FA7"/>
    <w:rsid w:val="00050626"/>
    <w:rsid w:val="0016537B"/>
    <w:rsid w:val="00485C2C"/>
    <w:rsid w:val="00716E20"/>
    <w:rsid w:val="00945D6E"/>
    <w:rsid w:val="00DB2C2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B2C20"/>
    <w:pPr>
      <w:autoSpaceDE w:val="0"/>
      <w:autoSpaceDN w:val="0"/>
      <w:adjustRightInd w:val="0"/>
      <w:spacing w:line="240" w:lineRule="auto"/>
      <w:ind w:firstLine="284"/>
    </w:pPr>
    <w:rPr>
      <w:rFonts w:ascii="Sentinel Book" w:eastAsia="Times New Roman" w:hAnsi="Sentinel Book" w:cs="Times New Roman"/>
      <w:lang w:eastAsia="hu-HU"/>
    </w:rPr>
  </w:style>
  <w:style w:type="paragraph" w:styleId="Cmsor1">
    <w:name w:val="heading 1"/>
    <w:next w:val="Norml"/>
    <w:link w:val="Cmsor1Char"/>
    <w:qFormat/>
    <w:rsid w:val="00DB2C20"/>
    <w:pPr>
      <w:keepNext/>
      <w:spacing w:before="600" w:after="360" w:line="240" w:lineRule="auto"/>
      <w:jc w:val="center"/>
      <w:outlineLvl w:val="0"/>
    </w:pPr>
    <w:rPr>
      <w:rFonts w:ascii="Sentinel Book" w:eastAsia="Times New Roman" w:hAnsi="Sentinel Book" w:cs="Times New Roman"/>
      <w:b/>
      <w:caps/>
      <w:spacing w:val="2"/>
      <w:sz w:val="32"/>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DB2C20"/>
    <w:rPr>
      <w:rFonts w:ascii="Sentinel Book" w:eastAsia="Times New Roman" w:hAnsi="Sentinel Book" w:cs="Times New Roman"/>
      <w:b/>
      <w:caps/>
      <w:spacing w:val="2"/>
      <w:sz w:val="32"/>
      <w:szCs w:val="24"/>
      <w:lang w:eastAsia="hu-HU"/>
    </w:rPr>
  </w:style>
  <w:style w:type="paragraph" w:styleId="TJ1">
    <w:name w:val="toc 1"/>
    <w:basedOn w:val="Norml"/>
    <w:next w:val="Norml"/>
    <w:autoRedefine/>
    <w:uiPriority w:val="39"/>
    <w:semiHidden/>
    <w:unhideWhenUsed/>
    <w:qFormat/>
    <w:rsid w:val="00DB2C20"/>
    <w:pPr>
      <w:tabs>
        <w:tab w:val="right" w:leader="dot" w:pos="7088"/>
      </w:tabs>
      <w:ind w:left="567" w:hanging="567"/>
      <w:jc w:val="left"/>
    </w:pPr>
  </w:style>
  <w:style w:type="paragraph" w:styleId="Tartalomjegyzkcmsora">
    <w:name w:val="TOC Heading"/>
    <w:basedOn w:val="Cmsor1"/>
    <w:next w:val="Norml"/>
    <w:uiPriority w:val="39"/>
    <w:semiHidden/>
    <w:unhideWhenUsed/>
    <w:qFormat/>
    <w:rsid w:val="00DB2C20"/>
    <w:pPr>
      <w:keepLines/>
      <w:spacing w:before="480" w:after="0" w:line="276" w:lineRule="auto"/>
      <w:jc w:val="left"/>
      <w:outlineLvl w:val="9"/>
    </w:pPr>
    <w:rPr>
      <w:rFonts w:ascii="Cambria" w:hAnsi="Cambria"/>
      <w:bCs/>
      <w:caps w:val="0"/>
      <w:color w:val="365F91"/>
      <w:spacing w:val="0"/>
      <w:sz w:val="28"/>
      <w:szCs w:val="28"/>
      <w:lang w:eastAsia="en-US"/>
    </w:rPr>
  </w:style>
  <w:style w:type="paragraph" w:customStyle="1" w:styleId="Irodalom">
    <w:name w:val="Irodalom"/>
    <w:basedOn w:val="Norml"/>
    <w:rsid w:val="00DB2C20"/>
    <w:pPr>
      <w:ind w:left="567" w:hanging="567"/>
    </w:pPr>
    <w:rPr>
      <w:szCs w:val="20"/>
    </w:rPr>
  </w:style>
  <w:style w:type="paragraph" w:customStyle="1" w:styleId="CIM">
    <w:name w:val="CIM"/>
    <w:rsid w:val="00DB2C20"/>
    <w:pPr>
      <w:spacing w:before="600" w:after="360" w:line="240" w:lineRule="auto"/>
      <w:jc w:val="center"/>
    </w:pPr>
    <w:rPr>
      <w:rFonts w:ascii="Sentinel Book" w:eastAsia="Times New Roman" w:hAnsi="Sentinel Book" w:cs="Times New Roman"/>
      <w:b/>
      <w:caps/>
      <w:sz w:val="36"/>
      <w:szCs w:val="36"/>
      <w:lang w:eastAsia="hu-HU"/>
    </w:rPr>
  </w:style>
  <w:style w:type="paragraph" w:styleId="Buborkszveg">
    <w:name w:val="Balloon Text"/>
    <w:basedOn w:val="Norml"/>
    <w:link w:val="BuborkszvegChar"/>
    <w:uiPriority w:val="99"/>
    <w:semiHidden/>
    <w:unhideWhenUsed/>
    <w:rsid w:val="00DB2C20"/>
    <w:rPr>
      <w:rFonts w:ascii="Tahoma" w:hAnsi="Tahoma" w:cs="Tahoma"/>
      <w:sz w:val="16"/>
      <w:szCs w:val="16"/>
    </w:rPr>
  </w:style>
  <w:style w:type="character" w:customStyle="1" w:styleId="BuborkszvegChar">
    <w:name w:val="Buborékszöveg Char"/>
    <w:basedOn w:val="Bekezdsalapbettpusa"/>
    <w:link w:val="Buborkszveg"/>
    <w:uiPriority w:val="99"/>
    <w:semiHidden/>
    <w:rsid w:val="00DB2C20"/>
    <w:rPr>
      <w:rFonts w:ascii="Tahoma" w:eastAsia="Times New Roman" w:hAnsi="Tahoma" w:cs="Tahoma"/>
      <w:sz w:val="16"/>
      <w:szCs w:val="16"/>
      <w:lang w:eastAsia="hu-HU"/>
    </w:rPr>
  </w:style>
</w:styles>
</file>

<file path=word/webSettings.xml><?xml version="1.0" encoding="utf-8"?>
<w:webSettings xmlns:r="http://schemas.openxmlformats.org/officeDocument/2006/relationships" xmlns:w="http://schemas.openxmlformats.org/wordprocessingml/2006/main">
  <w:divs>
    <w:div w:id="169757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2378</Words>
  <Characters>16411</Characters>
  <Application>Microsoft Office Word</Application>
  <DocSecurity>0</DocSecurity>
  <Lines>136</Lines>
  <Paragraphs>37</Paragraphs>
  <ScaleCrop>false</ScaleCrop>
  <Company>Microsoft</Company>
  <LinksUpToDate>false</LinksUpToDate>
  <CharactersWithSpaces>18752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cp:revision>
  <dcterms:created xsi:type="dcterms:W3CDTF">2015-02-13T15:28:00Z</dcterms:created>
  <dcterms:modified xsi:type="dcterms:W3CDTF">2015-02-13T15:30:00Z</dcterms:modified>
</cp:coreProperties>
</file>